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63" w:rsidRPr="00224508" w:rsidRDefault="00710563" w:rsidP="0022450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4"/>
          <w:szCs w:val="24"/>
        </w:rPr>
      </w:pPr>
      <w:r w:rsidRPr="00224508">
        <w:rPr>
          <w:rFonts w:ascii="CIDFont+F1" w:hAnsi="CIDFont+F1" w:cs="CIDFont+F1"/>
          <w:b/>
          <w:sz w:val="24"/>
          <w:szCs w:val="24"/>
        </w:rPr>
        <w:t>CLTA Guarantee Form No. 9: Mechanics’ Lien Guarantee</w:t>
      </w: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10563" w:rsidRDefault="00710563" w:rsidP="0022450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u w:val="single"/>
        </w:rPr>
      </w:pPr>
      <w:r w:rsidRPr="00224508">
        <w:rPr>
          <w:rFonts w:ascii="CIDFont+F1" w:hAnsi="CIDFont+F1" w:cs="CIDFont+F1"/>
          <w:b/>
          <w:u w:val="single"/>
        </w:rPr>
        <w:t>SCHEDULE A</w:t>
      </w:r>
    </w:p>
    <w:p w:rsidR="00224508" w:rsidRPr="00224508" w:rsidRDefault="00224508" w:rsidP="0022450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u w:val="single"/>
        </w:rPr>
      </w:pP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Guarantee No.: ___________________________Amount of Liability: $____________________</w:t>
      </w: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Date of Guarantee</w:t>
      </w:r>
      <w:r w:rsidR="00093722">
        <w:rPr>
          <w:rFonts w:ascii="CIDFont+F2" w:hAnsi="CIDFont+F2" w:cs="CIDFont+F2"/>
        </w:rPr>
        <w:t xml:space="preserve">: </w:t>
      </w:r>
      <w:r>
        <w:rPr>
          <w:rFonts w:ascii="CIDFont+F2" w:hAnsi="CIDFont+F2" w:cs="CIDFont+F2"/>
        </w:rPr>
        <w:t>________________________ Fee: $</w:t>
      </w:r>
      <w:r w:rsidR="00224508">
        <w:rPr>
          <w:rFonts w:ascii="CIDFont+F2" w:hAnsi="CIDFont+F2" w:cs="CIDFont+F2"/>
        </w:rPr>
        <w:t xml:space="preserve"> ______________________________</w:t>
      </w: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1. </w:t>
      </w:r>
      <w:r>
        <w:rPr>
          <w:rFonts w:ascii="CIDFont+F2" w:hAnsi="CIDFont+F2" w:cs="CIDFont+F2"/>
        </w:rPr>
        <w:tab/>
        <w:t>The Assured is:</w:t>
      </w: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2. </w:t>
      </w:r>
      <w:r>
        <w:rPr>
          <w:rFonts w:ascii="CIDFont+F2" w:hAnsi="CIDFont+F2" w:cs="CIDFont+F2"/>
        </w:rPr>
        <w:tab/>
        <w:t>The Land is described as follows:</w:t>
      </w:r>
    </w:p>
    <w:p w:rsidR="00710563" w:rsidRDefault="00710563" w:rsidP="0071056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85331A" w:rsidRDefault="00710563" w:rsidP="00710563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>3.</w:t>
      </w:r>
      <w:r>
        <w:rPr>
          <w:rFonts w:ascii="CIDFont+F2" w:hAnsi="CIDFont+F2" w:cs="CIDFont+F2"/>
        </w:rPr>
        <w:tab/>
        <w:t xml:space="preserve"> ASSURANCES:</w:t>
      </w:r>
    </w:p>
    <w:p w:rsidR="00710563" w:rsidRDefault="00710563" w:rsidP="00710563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  <w:t>According to the Public Records, as of the Date of Guarantee, there are no:</w:t>
      </w:r>
    </w:p>
    <w:p w:rsidR="00710563" w:rsidRDefault="00710563" w:rsidP="00710563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  <w:r w:rsidR="0041001E"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>Notices of Completion</w:t>
      </w:r>
      <w:r w:rsidR="00224508">
        <w:rPr>
          <w:rFonts w:ascii="CIDFont+F2" w:hAnsi="CIDFont+F2" w:cs="CIDFont+F2"/>
        </w:rPr>
        <w:t>;</w:t>
      </w:r>
    </w:p>
    <w:p w:rsidR="00710563" w:rsidRDefault="00710563" w:rsidP="00710563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  <w:r w:rsidR="0041001E"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>Notices of Cessation of Labor;</w:t>
      </w:r>
    </w:p>
    <w:p w:rsidR="00710563" w:rsidRDefault="00710563" w:rsidP="0041001E">
      <w:pPr>
        <w:ind w:left="720" w:firstLine="720"/>
        <w:rPr>
          <w:rFonts w:ascii="CIDFont+F2" w:hAnsi="CIDFont+F2" w:cs="CIDFont+F2"/>
        </w:rPr>
      </w:pPr>
      <w:r>
        <w:rPr>
          <w:rFonts w:ascii="CIDFont+F2" w:hAnsi="CIDFont+F2" w:cs="CIDFont+F2"/>
        </w:rPr>
        <w:t>Notices of Non-Responsibility;</w:t>
      </w:r>
    </w:p>
    <w:p w:rsidR="0091493C" w:rsidRDefault="00710563" w:rsidP="0041001E">
      <w:pPr>
        <w:ind w:left="720" w:firstLine="720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Unreleased claims of statutory liens for services, labor, materials or equipment </w:t>
      </w:r>
    </w:p>
    <w:p w:rsidR="00710563" w:rsidRDefault="00710563" w:rsidP="0041001E">
      <w:pPr>
        <w:ind w:left="720" w:firstLine="720"/>
        <w:rPr>
          <w:rFonts w:ascii="CIDFont+F2" w:hAnsi="CIDFont+F2" w:cs="CIDFont+F2"/>
        </w:rPr>
      </w:pPr>
      <w:r>
        <w:rPr>
          <w:rFonts w:ascii="CIDFont+F2" w:hAnsi="CIDFont+F2" w:cs="CIDFont+F2"/>
        </w:rPr>
        <w:t>(Mechanics’ Liens”); or</w:t>
      </w:r>
    </w:p>
    <w:p w:rsidR="0041001E" w:rsidRDefault="00710563" w:rsidP="00710563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  <w:r w:rsidR="0041001E">
        <w:rPr>
          <w:rFonts w:ascii="CIDFont+F2" w:hAnsi="CIDFont+F2" w:cs="CIDFont+F2"/>
        </w:rPr>
        <w:tab/>
      </w:r>
      <w:r>
        <w:rPr>
          <w:rFonts w:ascii="CIDFont+F2" w:hAnsi="CIDFont+F2" w:cs="CIDFont+F2"/>
        </w:rPr>
        <w:t>Notices of the pendency of actions to foreclose any such Mechanics’ Liens,</w:t>
      </w:r>
    </w:p>
    <w:p w:rsidR="00710563" w:rsidRDefault="00710563" w:rsidP="00224508">
      <w:pPr>
        <w:ind w:left="720"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recorded</w:t>
      </w:r>
      <w:proofErr w:type="gramEnd"/>
      <w:r>
        <w:rPr>
          <w:rFonts w:ascii="CIDFont+F2" w:hAnsi="CIDFont+F2" w:cs="CIDFont+F2"/>
        </w:rPr>
        <w:t xml:space="preserve"> subsequent to ____________________, which purport to affect the Land, other than those shown in Schedule B.</w:t>
      </w:r>
    </w:p>
    <w:p w:rsidR="0041001E" w:rsidRDefault="0041001E" w:rsidP="0041001E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>[</w:t>
      </w:r>
      <w:r w:rsidRPr="0041001E">
        <w:rPr>
          <w:rFonts w:ascii="CIDFont+F2" w:hAnsi="CIDFont+F2" w:cs="CIDFont+F2"/>
          <w:i/>
        </w:rPr>
        <w:t>Drafting Instruction: In addition to running the property, also run the current owner (fee or le</w:t>
      </w:r>
      <w:r w:rsidR="00093722">
        <w:rPr>
          <w:rFonts w:ascii="CIDFont+F2" w:hAnsi="CIDFont+F2" w:cs="CIDFont+F2"/>
          <w:i/>
        </w:rPr>
        <w:t>asehold, as applicable) in the g</w:t>
      </w:r>
      <w:r w:rsidRPr="0041001E">
        <w:rPr>
          <w:rFonts w:ascii="CIDFont+F2" w:hAnsi="CIDFont+F2" w:cs="CIDFont+F2"/>
          <w:i/>
        </w:rPr>
        <w:t>rantor/grantee index to search for any of the above documents that aren’t posted to the property due to insufficient legal descriptions</w:t>
      </w:r>
      <w:r>
        <w:rPr>
          <w:rFonts w:ascii="CIDFont+F2" w:hAnsi="CIDFont+F2" w:cs="CIDFont+F2"/>
        </w:rPr>
        <w:t>.]</w:t>
      </w:r>
    </w:p>
    <w:p w:rsidR="0041001E" w:rsidRDefault="0041001E" w:rsidP="00710563">
      <w:pPr>
        <w:rPr>
          <w:rFonts w:ascii="CIDFont+F2" w:hAnsi="CIDFont+F2" w:cs="CIDFont+F2"/>
        </w:rPr>
      </w:pPr>
    </w:p>
    <w:p w:rsidR="00710563" w:rsidRPr="00224508" w:rsidRDefault="00224508" w:rsidP="00224508">
      <w:pPr>
        <w:jc w:val="center"/>
        <w:rPr>
          <w:rFonts w:ascii="CIDFont+F2" w:hAnsi="CIDFont+F2" w:cs="CIDFont+F2"/>
          <w:b/>
          <w:u w:val="single"/>
        </w:rPr>
      </w:pPr>
      <w:r w:rsidRPr="00224508">
        <w:rPr>
          <w:rFonts w:ascii="CIDFont+F2" w:hAnsi="CIDFont+F2" w:cs="CIDFont+F2"/>
          <w:b/>
          <w:u w:val="single"/>
        </w:rPr>
        <w:t>SCHEDULE B</w:t>
      </w:r>
    </w:p>
    <w:p w:rsidR="00224508" w:rsidRDefault="00224508" w:rsidP="00710563">
      <w:pPr>
        <w:rPr>
          <w:rFonts w:ascii="CIDFont+F2" w:hAnsi="CIDFont+F2" w:cs="CIDFont+F2"/>
        </w:rPr>
      </w:pPr>
    </w:p>
    <w:p w:rsidR="00224508" w:rsidRDefault="00224508" w:rsidP="00710563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>1.</w:t>
      </w:r>
    </w:p>
    <w:p w:rsidR="00224508" w:rsidRDefault="00224508" w:rsidP="00710563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>2.</w:t>
      </w:r>
    </w:p>
    <w:p w:rsidR="00224508" w:rsidRDefault="00224508" w:rsidP="00710563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>3.</w:t>
      </w:r>
    </w:p>
    <w:p w:rsidR="00224508" w:rsidRDefault="00224508" w:rsidP="00710563">
      <w:r>
        <w:rPr>
          <w:rFonts w:ascii="CIDFont+F2" w:hAnsi="CIDFont+F2" w:cs="CIDFont+F2"/>
        </w:rPr>
        <w:t>4.</w:t>
      </w:r>
    </w:p>
    <w:sectPr w:rsidR="00224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A2" w:rsidRDefault="008546A2" w:rsidP="00150C59">
      <w:pPr>
        <w:spacing w:after="0" w:line="240" w:lineRule="auto"/>
      </w:pPr>
      <w:r>
        <w:separator/>
      </w:r>
    </w:p>
  </w:endnote>
  <w:endnote w:type="continuationSeparator" w:id="0">
    <w:p w:rsidR="008546A2" w:rsidRDefault="008546A2" w:rsidP="0015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63" w:rsidRDefault="00CD3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59" w:rsidRPr="00CD3F63" w:rsidRDefault="00150C59">
    <w:pPr>
      <w:pStyle w:val="Footer"/>
      <w:rPr>
        <w:sz w:val="18"/>
        <w:szCs w:val="18"/>
      </w:rPr>
    </w:pPr>
    <w:r w:rsidRPr="00CD3F63">
      <w:rPr>
        <w:sz w:val="18"/>
        <w:szCs w:val="18"/>
      </w:rPr>
      <w:t>WFG Form No 3181800</w:t>
    </w:r>
    <w:r w:rsidR="00093722" w:rsidRPr="00CD3F63">
      <w:rPr>
        <w:sz w:val="18"/>
        <w:szCs w:val="18"/>
      </w:rPr>
      <w:t xml:space="preserve"> AB</w:t>
    </w:r>
  </w:p>
  <w:p w:rsidR="00150C59" w:rsidRPr="00CD3F63" w:rsidRDefault="00150C59">
    <w:pPr>
      <w:pStyle w:val="Footer"/>
      <w:rPr>
        <w:sz w:val="18"/>
        <w:szCs w:val="18"/>
      </w:rPr>
    </w:pPr>
    <w:r w:rsidRPr="00CD3F63">
      <w:rPr>
        <w:sz w:val="18"/>
        <w:szCs w:val="18"/>
      </w:rPr>
      <w:t>CLTA Guarantee Form 9 Mechanics’</w:t>
    </w:r>
    <w:r w:rsidR="00093722" w:rsidRPr="00CD3F63">
      <w:rPr>
        <w:sz w:val="18"/>
        <w:szCs w:val="18"/>
      </w:rPr>
      <w:t xml:space="preserve"> Lien Schedule AB </w:t>
    </w:r>
    <w:r w:rsidRPr="00CD3F63">
      <w:rPr>
        <w:sz w:val="18"/>
        <w:szCs w:val="18"/>
      </w:rPr>
      <w:t xml:space="preserve">(02-06-2025)  </w:t>
    </w:r>
    <w:bookmarkStart w:id="0" w:name="_GoBack"/>
    <w:bookmarkEnd w:id="0"/>
  </w:p>
  <w:p w:rsidR="00093722" w:rsidRDefault="00093722">
    <w:pPr>
      <w:pStyle w:val="Footer"/>
    </w:pPr>
  </w:p>
  <w:p w:rsidR="00093722" w:rsidRDefault="00093722">
    <w:pPr>
      <w:pStyle w:val="Footer"/>
    </w:pPr>
  </w:p>
  <w:p w:rsidR="00093722" w:rsidRDefault="00093722" w:rsidP="00093722">
    <w:pPr>
      <w:autoSpaceDE w:val="0"/>
      <w:autoSpaceDN w:val="0"/>
      <w:adjustRightInd w:val="0"/>
      <w:spacing w:after="0" w:line="240" w:lineRule="auto"/>
      <w:rPr>
        <w:rFonts w:ascii="CIDFont+F2" w:hAnsi="CIDFont+F2" w:cs="CIDFont+F2"/>
        <w:sz w:val="14"/>
        <w:szCs w:val="14"/>
      </w:rPr>
    </w:pPr>
    <w:r>
      <w:rPr>
        <w:rFonts w:ascii="CIDFont+F1" w:hAnsi="CIDFont+F1" w:cs="CIDFont+F1"/>
        <w:sz w:val="14"/>
        <w:szCs w:val="14"/>
      </w:rPr>
      <w:t xml:space="preserve">© 2025 California Land Title Association. All rights reserved. </w:t>
    </w:r>
    <w:r>
      <w:rPr>
        <w:rFonts w:ascii="CIDFont+F2" w:hAnsi="CIDFont+F2" w:cs="CIDFont+F2"/>
        <w:sz w:val="14"/>
        <w:szCs w:val="14"/>
      </w:rPr>
      <w:t>Page 2 of 8</w:t>
    </w:r>
  </w:p>
  <w:p w:rsidR="00093722" w:rsidRDefault="00093722" w:rsidP="00093722">
    <w:pPr>
      <w:autoSpaceDE w:val="0"/>
      <w:autoSpaceDN w:val="0"/>
      <w:adjustRightInd w:val="0"/>
      <w:spacing w:after="0" w:line="240" w:lineRule="auto"/>
      <w:rPr>
        <w:rFonts w:ascii="CIDFont+F2" w:hAnsi="CIDFont+F2" w:cs="CIDFont+F2"/>
        <w:sz w:val="14"/>
        <w:szCs w:val="14"/>
      </w:rPr>
    </w:pPr>
    <w:r>
      <w:rPr>
        <w:rFonts w:ascii="CIDFont+F2" w:hAnsi="CIDFont+F2" w:cs="CIDFont+F2"/>
        <w:sz w:val="14"/>
        <w:szCs w:val="14"/>
      </w:rPr>
      <w:t>The use of this Form is restricted to CLTA subscribers in good standing as of the date of use. All other uses are prohibited.</w:t>
    </w:r>
  </w:p>
  <w:p w:rsidR="00150C59" w:rsidRDefault="00093722" w:rsidP="00093722">
    <w:pPr>
      <w:pStyle w:val="Footer"/>
    </w:pPr>
    <w:r>
      <w:rPr>
        <w:rFonts w:ascii="CIDFont+F2" w:hAnsi="CIDFont+F2" w:cs="CIDFont+F2"/>
        <w:sz w:val="14"/>
        <w:szCs w:val="14"/>
      </w:rPr>
      <w:t>Reprinted under license or express permission from the California Land Title Association.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63" w:rsidRDefault="00CD3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A2" w:rsidRDefault="008546A2" w:rsidP="00150C59">
      <w:pPr>
        <w:spacing w:after="0" w:line="240" w:lineRule="auto"/>
      </w:pPr>
      <w:r>
        <w:separator/>
      </w:r>
    </w:p>
  </w:footnote>
  <w:footnote w:type="continuationSeparator" w:id="0">
    <w:p w:rsidR="008546A2" w:rsidRDefault="008546A2" w:rsidP="0015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63" w:rsidRDefault="00CD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63" w:rsidRDefault="00CD3F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63" w:rsidRDefault="00CD3F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63"/>
    <w:rsid w:val="00093722"/>
    <w:rsid w:val="00150C59"/>
    <w:rsid w:val="00224508"/>
    <w:rsid w:val="00285545"/>
    <w:rsid w:val="0041001E"/>
    <w:rsid w:val="00710563"/>
    <w:rsid w:val="0085331A"/>
    <w:rsid w:val="008546A2"/>
    <w:rsid w:val="0091493C"/>
    <w:rsid w:val="00C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BA41D-BDAF-4C87-AA66-2880860B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59"/>
  </w:style>
  <w:style w:type="paragraph" w:styleId="Footer">
    <w:name w:val="footer"/>
    <w:basedOn w:val="Normal"/>
    <w:link w:val="FooterChar"/>
    <w:uiPriority w:val="99"/>
    <w:unhideWhenUsed/>
    <w:rsid w:val="00150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Cornelius</dc:creator>
  <cp:keywords/>
  <dc:description/>
  <cp:lastModifiedBy>Christine Cornelius</cp:lastModifiedBy>
  <cp:revision>2</cp:revision>
  <dcterms:created xsi:type="dcterms:W3CDTF">2025-05-14T13:10:00Z</dcterms:created>
  <dcterms:modified xsi:type="dcterms:W3CDTF">2025-05-22T18:38:00Z</dcterms:modified>
</cp:coreProperties>
</file>